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64A76" w14:textId="77777777" w:rsidR="00B350CE" w:rsidRDefault="00965AD5">
      <w:pPr>
        <w:spacing w:after="386" w:line="259" w:lineRule="auto"/>
        <w:ind w:left="3356"/>
        <w:jc w:val="left"/>
      </w:pPr>
      <w:r>
        <w:rPr>
          <w:noProof/>
        </w:rPr>
        <w:drawing>
          <wp:inline distT="0" distB="0" distL="0" distR="0" wp14:anchorId="61B92338" wp14:editId="16891255">
            <wp:extent cx="1146274" cy="1189080"/>
            <wp:effectExtent l="0" t="0" r="0" b="0"/>
            <wp:docPr id="2336" name="Picture 2336"/>
            <wp:cNvGraphicFramePr/>
            <a:graphic xmlns:a="http://schemas.openxmlformats.org/drawingml/2006/main">
              <a:graphicData uri="http://schemas.openxmlformats.org/drawingml/2006/picture">
                <pic:pic xmlns:pic="http://schemas.openxmlformats.org/drawingml/2006/picture">
                  <pic:nvPicPr>
                    <pic:cNvPr id="2336" name="Picture 2336"/>
                    <pic:cNvPicPr/>
                  </pic:nvPicPr>
                  <pic:blipFill>
                    <a:blip r:embed="rId4"/>
                    <a:stretch>
                      <a:fillRect/>
                    </a:stretch>
                  </pic:blipFill>
                  <pic:spPr>
                    <a:xfrm>
                      <a:off x="0" y="0"/>
                      <a:ext cx="1146274" cy="1189080"/>
                    </a:xfrm>
                    <a:prstGeom prst="rect">
                      <a:avLst/>
                    </a:prstGeom>
                  </pic:spPr>
                </pic:pic>
              </a:graphicData>
            </a:graphic>
          </wp:inline>
        </w:drawing>
      </w:r>
    </w:p>
    <w:p w14:paraId="44D36C48" w14:textId="77777777" w:rsidR="00B350CE" w:rsidRDefault="00965AD5">
      <w:pPr>
        <w:pStyle w:val="Heading1"/>
        <w:spacing w:after="77"/>
        <w:ind w:left="15" w:right="14"/>
      </w:pPr>
      <w:r>
        <w:t>CITY OF CRANSTON</w:t>
      </w:r>
    </w:p>
    <w:p w14:paraId="7DEDD0B5" w14:textId="77777777" w:rsidR="00B350CE" w:rsidRDefault="00965AD5">
      <w:pPr>
        <w:spacing w:after="235" w:line="259" w:lineRule="auto"/>
        <w:ind w:left="19"/>
        <w:jc w:val="center"/>
      </w:pPr>
      <w:r>
        <w:rPr>
          <w:sz w:val="36"/>
        </w:rPr>
        <w:t>DEPARTMENT OF COMMUNITY DEVELOPMENT</w:t>
      </w:r>
    </w:p>
    <w:p w14:paraId="276CA5B1" w14:textId="77777777" w:rsidR="00B350CE" w:rsidRDefault="00965AD5">
      <w:pPr>
        <w:spacing w:after="190" w:line="259" w:lineRule="auto"/>
        <w:ind w:left="19"/>
        <w:jc w:val="center"/>
      </w:pPr>
      <w:r>
        <w:rPr>
          <w:sz w:val="42"/>
        </w:rPr>
        <w:t>NOTICE OF FUND AVAILABILITY</w:t>
      </w:r>
    </w:p>
    <w:p w14:paraId="0E1D4D8C" w14:textId="77777777" w:rsidR="00B350CE" w:rsidRDefault="00965AD5">
      <w:pPr>
        <w:pStyle w:val="Heading1"/>
        <w:ind w:left="15" w:right="0"/>
      </w:pPr>
      <w:r>
        <w:t>FOR PUBLIC SERVICE ORGANIZATIONS</w:t>
      </w:r>
    </w:p>
    <w:p w14:paraId="1534A9F6" w14:textId="77777777" w:rsidR="00B350CE" w:rsidRDefault="00965AD5">
      <w:pPr>
        <w:spacing w:after="555" w:line="259" w:lineRule="auto"/>
        <w:ind w:left="-355" w:right="-360"/>
        <w:jc w:val="left"/>
      </w:pPr>
      <w:r>
        <w:rPr>
          <w:noProof/>
          <w:sz w:val="22"/>
        </w:rPr>
        <mc:AlternateContent>
          <mc:Choice Requires="wpg">
            <w:drawing>
              <wp:inline distT="0" distB="0" distL="0" distR="0" wp14:anchorId="23910B71" wp14:editId="0E70A93F">
                <wp:extent cx="5944773" cy="15245"/>
                <wp:effectExtent l="0" t="0" r="0" b="0"/>
                <wp:docPr id="2341" name="Group 2341"/>
                <wp:cNvGraphicFramePr/>
                <a:graphic xmlns:a="http://schemas.openxmlformats.org/drawingml/2006/main">
                  <a:graphicData uri="http://schemas.microsoft.com/office/word/2010/wordprocessingGroup">
                    <wpg:wgp>
                      <wpg:cNvGrpSpPr/>
                      <wpg:grpSpPr>
                        <a:xfrm>
                          <a:off x="0" y="0"/>
                          <a:ext cx="5944773" cy="15245"/>
                          <a:chOff x="0" y="0"/>
                          <a:chExt cx="5944773" cy="15245"/>
                        </a:xfrm>
                      </wpg:grpSpPr>
                      <wps:wsp>
                        <wps:cNvPr id="2340" name="Shape 2340"/>
                        <wps:cNvSpPr/>
                        <wps:spPr>
                          <a:xfrm>
                            <a:off x="0" y="0"/>
                            <a:ext cx="5944773" cy="15245"/>
                          </a:xfrm>
                          <a:custGeom>
                            <a:avLst/>
                            <a:gdLst/>
                            <a:ahLst/>
                            <a:cxnLst/>
                            <a:rect l="0" t="0" r="0" b="0"/>
                            <a:pathLst>
                              <a:path w="5944773" h="15245">
                                <a:moveTo>
                                  <a:pt x="0" y="7622"/>
                                </a:moveTo>
                                <a:lnTo>
                                  <a:pt x="5944773"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41" style="width:468.092pt;height:1.20038pt;mso-position-horizontal-relative:char;mso-position-vertical-relative:line" coordsize="59447,152">
                <v:shape id="Shape 2340" style="position:absolute;width:59447;height:152;left:0;top:0;" coordsize="5944773,15245" path="m0,7622l5944773,7622">
                  <v:stroke weight="1.20038pt" endcap="flat" joinstyle="miter" miterlimit="1" on="true" color="#000000"/>
                  <v:fill on="false" color="#000000"/>
                </v:shape>
              </v:group>
            </w:pict>
          </mc:Fallback>
        </mc:AlternateContent>
      </w:r>
    </w:p>
    <w:p w14:paraId="2068FB64" w14:textId="5A8A33E5" w:rsidR="00B350CE" w:rsidRDefault="00965AD5">
      <w:pPr>
        <w:spacing w:after="272"/>
        <w:ind w:left="-1" w:right="-5"/>
      </w:pPr>
      <w:r>
        <w:t xml:space="preserve">Community Development Block Grant (CDBG) funds are available to those public service organizations that serve individuals and families residing in Cranston, and </w:t>
      </w:r>
      <w:proofErr w:type="gramStart"/>
      <w:r>
        <w:t>having</w:t>
      </w:r>
      <w:proofErr w:type="gramEnd"/>
      <w:r>
        <w:t xml:space="preserve"> low to moderate incomes, adjusted for family size. </w:t>
      </w:r>
      <w:r w:rsidR="002877F2">
        <w:t>To</w:t>
      </w:r>
      <w:r>
        <w:t xml:space="preserve"> qualify for CDBG funds, at least 51 % of the clientele of public service organizations must be low to moderate income people, based on the current income guidelines.</w:t>
      </w:r>
    </w:p>
    <w:p w14:paraId="7680E791" w14:textId="0A7DCE5E" w:rsidR="00B350CE" w:rsidRDefault="00965AD5">
      <w:pPr>
        <w:ind w:left="-1" w:right="-5" w:firstLine="58"/>
      </w:pPr>
      <w:r>
        <w:t>The Cranston Department of Community Development is funded by the U. S. Department of Housing and Urban Development, in accordance with the Community Development Act of 1974. Estimated CDBG grant is $1</w:t>
      </w:r>
      <w:r w:rsidR="007F7783">
        <w:rPr>
          <w:noProof/>
        </w:rPr>
        <w:t>,000,000 for fiscal year July 1, 202</w:t>
      </w:r>
      <w:r w:rsidR="002877F2">
        <w:rPr>
          <w:noProof/>
        </w:rPr>
        <w:t>5</w:t>
      </w:r>
      <w:r w:rsidR="007F7783">
        <w:rPr>
          <w:noProof/>
        </w:rPr>
        <w:t>-June 30, 202</w:t>
      </w:r>
      <w:r w:rsidR="002877F2">
        <w:rPr>
          <w:noProof/>
        </w:rPr>
        <w:t>6</w:t>
      </w:r>
      <w:r w:rsidR="007F7783">
        <w:rPr>
          <w:noProof/>
        </w:rPr>
        <w:t>.</w:t>
      </w:r>
    </w:p>
    <w:p w14:paraId="4A40A760" w14:textId="611E59FD" w:rsidR="00B350CE" w:rsidRDefault="00965AD5">
      <w:pPr>
        <w:spacing w:after="751"/>
        <w:ind w:left="-1" w:right="-5"/>
      </w:pPr>
      <w:r>
        <w:t xml:space="preserve">Applications can be located at </w:t>
      </w:r>
      <w:r>
        <w:rPr>
          <w:u w:val="single" w:color="000000"/>
        </w:rPr>
        <w:t>www.cranstonri.gov</w:t>
      </w:r>
      <w:r w:rsidR="00EF1089">
        <w:t xml:space="preserve"> (Community Development) or </w:t>
      </w:r>
      <w:r>
        <w:t xml:space="preserve">by calling </w:t>
      </w:r>
      <w:r w:rsidR="00EF1089">
        <w:t xml:space="preserve">or stopping at the </w:t>
      </w:r>
      <w:r>
        <w:t>Department of Commun</w:t>
      </w:r>
      <w:r w:rsidR="00EF1089">
        <w:t xml:space="preserve">ity Development office at 401-780-6240, </w:t>
      </w:r>
      <w:r w:rsidR="002877F2">
        <w:t>Pastore Youth Center, 155 Gansett Ave., Cranston, RI 02910</w:t>
      </w:r>
      <w:r w:rsidR="00EF1089">
        <w:t>.</w:t>
      </w:r>
      <w:r>
        <w:t xml:space="preserve"> </w:t>
      </w:r>
      <w:r w:rsidR="002877F2">
        <w:t>Applications are available January 2026.</w:t>
      </w:r>
    </w:p>
    <w:tbl>
      <w:tblPr>
        <w:tblStyle w:val="TableGrid"/>
        <w:tblW w:w="8594" w:type="dxa"/>
        <w:tblInd w:w="10" w:type="dxa"/>
        <w:tblLook w:val="04A0" w:firstRow="1" w:lastRow="0" w:firstColumn="1" w:lastColumn="0" w:noHBand="0" w:noVBand="1"/>
      </w:tblPr>
      <w:tblGrid>
        <w:gridCol w:w="5238"/>
        <w:gridCol w:w="3356"/>
      </w:tblGrid>
      <w:tr w:rsidR="00B350CE" w14:paraId="3FB7EEF1" w14:textId="77777777">
        <w:trPr>
          <w:trHeight w:val="263"/>
        </w:trPr>
        <w:tc>
          <w:tcPr>
            <w:tcW w:w="5238" w:type="dxa"/>
            <w:tcBorders>
              <w:top w:val="nil"/>
              <w:left w:val="nil"/>
              <w:bottom w:val="nil"/>
              <w:right w:val="nil"/>
            </w:tcBorders>
          </w:tcPr>
          <w:p w14:paraId="2D61F7E6" w14:textId="77777777" w:rsidR="00B350CE" w:rsidRDefault="00965AD5">
            <w:pPr>
              <w:spacing w:after="0" w:line="259" w:lineRule="auto"/>
              <w:ind w:left="341"/>
              <w:jc w:val="left"/>
            </w:pPr>
            <w:r>
              <w:t>Kenneth J. Hopkins</w:t>
            </w:r>
          </w:p>
        </w:tc>
        <w:tc>
          <w:tcPr>
            <w:tcW w:w="3356" w:type="dxa"/>
            <w:tcBorders>
              <w:top w:val="nil"/>
              <w:left w:val="nil"/>
              <w:bottom w:val="nil"/>
              <w:right w:val="nil"/>
            </w:tcBorders>
          </w:tcPr>
          <w:p w14:paraId="22700D38" w14:textId="2CDCBF80" w:rsidR="00B350CE" w:rsidRDefault="002877F2">
            <w:pPr>
              <w:spacing w:after="0" w:line="259" w:lineRule="auto"/>
              <w:ind w:left="634"/>
              <w:jc w:val="left"/>
            </w:pPr>
            <w:r>
              <w:t>Ernest Tommasiello</w:t>
            </w:r>
          </w:p>
        </w:tc>
      </w:tr>
      <w:tr w:rsidR="00B350CE" w14:paraId="52D45137" w14:textId="77777777">
        <w:trPr>
          <w:trHeight w:val="267"/>
        </w:trPr>
        <w:tc>
          <w:tcPr>
            <w:tcW w:w="5238" w:type="dxa"/>
            <w:tcBorders>
              <w:top w:val="nil"/>
              <w:left w:val="nil"/>
              <w:bottom w:val="nil"/>
              <w:right w:val="nil"/>
            </w:tcBorders>
          </w:tcPr>
          <w:p w14:paraId="0E5665FA" w14:textId="77777777" w:rsidR="00B350CE" w:rsidRPr="00965AD5" w:rsidRDefault="00965AD5">
            <w:pPr>
              <w:spacing w:after="0" w:line="259" w:lineRule="auto"/>
              <w:ind w:left="600"/>
              <w:jc w:val="left"/>
              <w:rPr>
                <w:sz w:val="28"/>
                <w:szCs w:val="28"/>
              </w:rPr>
            </w:pPr>
            <w:r w:rsidRPr="00965AD5">
              <w:rPr>
                <w:sz w:val="28"/>
                <w:szCs w:val="28"/>
              </w:rPr>
              <w:t>MAYOR</w:t>
            </w:r>
          </w:p>
        </w:tc>
        <w:tc>
          <w:tcPr>
            <w:tcW w:w="3356" w:type="dxa"/>
            <w:tcBorders>
              <w:top w:val="nil"/>
              <w:left w:val="nil"/>
              <w:bottom w:val="nil"/>
              <w:right w:val="nil"/>
            </w:tcBorders>
          </w:tcPr>
          <w:p w14:paraId="2392D3CE" w14:textId="77777777" w:rsidR="00B350CE" w:rsidRPr="00965AD5" w:rsidRDefault="00965AD5">
            <w:pPr>
              <w:spacing w:after="0" w:line="259" w:lineRule="auto"/>
              <w:ind w:left="0" w:right="149"/>
              <w:jc w:val="center"/>
              <w:rPr>
                <w:sz w:val="28"/>
                <w:szCs w:val="28"/>
              </w:rPr>
            </w:pPr>
            <w:r w:rsidRPr="00965AD5">
              <w:rPr>
                <w:sz w:val="28"/>
                <w:szCs w:val="28"/>
              </w:rPr>
              <w:t>DIRECTOR</w:t>
            </w:r>
          </w:p>
        </w:tc>
      </w:tr>
      <w:tr w:rsidR="00B350CE" w14:paraId="5A20CAD8" w14:textId="77777777">
        <w:trPr>
          <w:trHeight w:val="279"/>
        </w:trPr>
        <w:tc>
          <w:tcPr>
            <w:tcW w:w="5238" w:type="dxa"/>
            <w:tcBorders>
              <w:top w:val="nil"/>
              <w:left w:val="nil"/>
              <w:bottom w:val="nil"/>
              <w:right w:val="nil"/>
            </w:tcBorders>
          </w:tcPr>
          <w:p w14:paraId="363C7A7B" w14:textId="77777777" w:rsidR="00B350CE" w:rsidRPr="00965AD5" w:rsidRDefault="00965AD5">
            <w:pPr>
              <w:spacing w:after="0" w:line="259" w:lineRule="auto"/>
              <w:ind w:left="0"/>
              <w:jc w:val="left"/>
              <w:rPr>
                <w:sz w:val="28"/>
                <w:szCs w:val="28"/>
              </w:rPr>
            </w:pPr>
            <w:r w:rsidRPr="00965AD5">
              <w:rPr>
                <w:sz w:val="28"/>
                <w:szCs w:val="28"/>
              </w:rPr>
              <w:t>CITY OF CRANSTON</w:t>
            </w:r>
          </w:p>
        </w:tc>
        <w:tc>
          <w:tcPr>
            <w:tcW w:w="3356" w:type="dxa"/>
            <w:tcBorders>
              <w:top w:val="nil"/>
              <w:left w:val="nil"/>
              <w:bottom w:val="nil"/>
              <w:right w:val="nil"/>
            </w:tcBorders>
          </w:tcPr>
          <w:p w14:paraId="49338FCF" w14:textId="77777777" w:rsidR="00B350CE" w:rsidRPr="00965AD5" w:rsidRDefault="00965AD5">
            <w:pPr>
              <w:spacing w:after="0" w:line="259" w:lineRule="auto"/>
              <w:ind w:left="0"/>
              <w:rPr>
                <w:sz w:val="28"/>
                <w:szCs w:val="28"/>
              </w:rPr>
            </w:pPr>
            <w:r w:rsidRPr="00965AD5">
              <w:rPr>
                <w:sz w:val="28"/>
                <w:szCs w:val="28"/>
              </w:rPr>
              <w:t>COMMUNITY DEVELOPMENT</w:t>
            </w:r>
          </w:p>
        </w:tc>
      </w:tr>
    </w:tbl>
    <w:p w14:paraId="3712A7B9" w14:textId="77777777" w:rsidR="00BF455B" w:rsidRDefault="00BF455B"/>
    <w:sectPr w:rsidR="00BF455B">
      <w:pgSz w:w="12175" w:h="15840"/>
      <w:pgMar w:top="1440" w:right="1877" w:bottom="1440" w:left="16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0CE"/>
    <w:rsid w:val="002877F2"/>
    <w:rsid w:val="00695DF7"/>
    <w:rsid w:val="007F7783"/>
    <w:rsid w:val="00965AD5"/>
    <w:rsid w:val="00B350CE"/>
    <w:rsid w:val="00BF455B"/>
    <w:rsid w:val="00EF1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C25EC"/>
  <w15:docId w15:val="{59F0C477-24C3-4D12-AD24-5D4D8A3DE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6" w:line="216" w:lineRule="auto"/>
      <w:ind w:left="5"/>
      <w:jc w:val="both"/>
    </w:pPr>
    <w:rPr>
      <w:rFonts w:ascii="Calibri" w:eastAsia="Calibri" w:hAnsi="Calibri" w:cs="Calibri"/>
      <w:color w:val="000000"/>
      <w:sz w:val="26"/>
    </w:rPr>
  </w:style>
  <w:style w:type="paragraph" w:styleId="Heading1">
    <w:name w:val="heading 1"/>
    <w:next w:val="Normal"/>
    <w:link w:val="Heading1Char"/>
    <w:uiPriority w:val="9"/>
    <w:unhideWhenUsed/>
    <w:qFormat/>
    <w:pPr>
      <w:keepNext/>
      <w:keepLines/>
      <w:spacing w:after="0"/>
      <w:ind w:left="10" w:right="10" w:hanging="10"/>
      <w:jc w:val="center"/>
      <w:outlineLvl w:val="0"/>
    </w:pPr>
    <w:rPr>
      <w:rFonts w:ascii="Calibri" w:eastAsia="Calibri" w:hAnsi="Calibri" w:cs="Calibri"/>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65A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5AD5"/>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Sanzi, Timothy G.</dc:creator>
  <cp:keywords/>
  <cp:lastModifiedBy>Tommasiello, Ernest</cp:lastModifiedBy>
  <cp:revision>2</cp:revision>
  <cp:lastPrinted>2022-01-04T20:19:00Z</cp:lastPrinted>
  <dcterms:created xsi:type="dcterms:W3CDTF">2025-10-06T16:47:00Z</dcterms:created>
  <dcterms:modified xsi:type="dcterms:W3CDTF">2025-10-06T16:47:00Z</dcterms:modified>
</cp:coreProperties>
</file>